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6555A1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6555A1">
              <w:rPr>
                <w:rFonts w:asciiTheme="minorHAnsi" w:hAnsiTheme="minorHAnsi"/>
              </w:rPr>
              <w:t>Waters  rm. 109</w:t>
            </w:r>
            <w:bookmarkStart w:id="0" w:name="_GoBack"/>
            <w:bookmarkEnd w:id="0"/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741C0D">
              <w:rPr>
                <w:rFonts w:asciiTheme="minorHAnsi" w:hAnsiTheme="minorHAnsi"/>
              </w:rPr>
              <w:t>October 20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1F1FD7" w:rsidRDefault="00966A39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Unit Vocabulary:</w:t>
            </w:r>
            <w:r w:rsidR="006A0722" w:rsidRPr="001F1FD7">
              <w:rPr>
                <w:rFonts w:asciiTheme="minorHAnsi" w:hAnsiTheme="minorHAnsi"/>
                <w:b/>
              </w:rPr>
              <w:t xml:space="preserve"> </w:t>
            </w:r>
            <w:r w:rsidR="000533EA">
              <w:rPr>
                <w:rFonts w:asciiTheme="minorHAnsi" w:hAnsiTheme="minorHAnsi"/>
              </w:rPr>
              <w:t>clause, phrase, independent clause, dependent clause, compound sentence, complex sentence, run-on, fragment, comma splice</w:t>
            </w:r>
            <w:r w:rsidR="00741C0D">
              <w:rPr>
                <w:rFonts w:asciiTheme="minorHAnsi" w:hAnsiTheme="minorHAnsi"/>
              </w:rPr>
              <w:t xml:space="preserve">, compound/complex </w:t>
            </w:r>
            <w:r w:rsidR="00DE4851">
              <w:rPr>
                <w:rFonts w:asciiTheme="minorHAnsi" w:hAnsiTheme="minorHAnsi"/>
              </w:rPr>
              <w:t>sentence</w:t>
            </w:r>
            <w:r w:rsidR="00DE4851" w:rsidRPr="00DE4851">
              <w:rPr>
                <w:rFonts w:asciiTheme="minorHAnsi" w:hAnsiTheme="minorHAnsi"/>
              </w:rPr>
              <w:t>, citing evidence, personal, demonstrative, intensive, reflexive, and indefinite pronouns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1F1FD7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>
              <w:trPr>
                <w:trHeight w:val="513"/>
              </w:trPr>
              <w:tc>
                <w:tcPr>
                  <w:tcW w:w="0" w:type="auto"/>
                </w:tcPr>
                <w:p w:rsidR="00BD15AB" w:rsidRPr="00BD15AB" w:rsidRDefault="00BD15AB" w:rsidP="00BD15A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ALL CLASSES</w:t>
                  </w: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ELACC7L1: Demonstrate command of the conventions of standard English grammar and usage when writing or speaking.</w:t>
                  </w:r>
                </w:p>
                <w:p w:rsidR="00BD15AB" w:rsidRPr="00BD15AB" w:rsidRDefault="00BD15AB" w:rsidP="00BD15A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t xml:space="preserve">a. Explain the function of phrases and clauses in general and their function in specific sentences. </w:t>
                  </w:r>
                </w:p>
                <w:p w:rsidR="00BD15AB" w:rsidRPr="00BD15AB" w:rsidRDefault="00BD15AB" w:rsidP="00BD15AB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t xml:space="preserve">b. Choose among simple, compound, complex, and compound-complex sentences to signal differing relationships among ideas. </w:t>
                  </w:r>
                </w:p>
                <w:p w:rsidR="00A035A8" w:rsidRPr="000A14B9" w:rsidRDefault="00BD15AB" w:rsidP="00BD15A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D15AB">
                    <w:rPr>
                      <w:rFonts w:asciiTheme="minorHAnsi" w:hAnsiTheme="minorHAnsi"/>
                      <w:sz w:val="22"/>
                      <w:szCs w:val="22"/>
                    </w:rPr>
                    <w:t>c. Place phrases and clauses within a sentence, recognizing and correcting misplaced and dangling modifiers.</w:t>
                  </w:r>
                </w:p>
              </w:tc>
            </w:tr>
          </w:tbl>
          <w:p w:rsidR="00B4151B" w:rsidRPr="001F1FD7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A95928" w:rsidRPr="001F1FD7">
              <w:rPr>
                <w:rFonts w:asciiTheme="minorHAnsi" w:hAnsiTheme="minorHAnsi"/>
              </w:rPr>
              <w:t>: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b/>
              </w:rPr>
              <w:t>ADV</w:t>
            </w:r>
            <w:r w:rsidRPr="00BD15AB">
              <w:rPr>
                <w:rFonts w:asciiTheme="minorHAnsi" w:hAnsiTheme="minorHAnsi"/>
                <w:b/>
              </w:rPr>
              <w:br/>
            </w:r>
            <w:r w:rsidRPr="00BD15AB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B4151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D15AB">
              <w:rPr>
                <w:rFonts w:asciiTheme="minorHAnsi" w:hAnsiTheme="minorHAnsi"/>
                <w:b/>
              </w:rPr>
              <w:t>REG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characters.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Common Core </w:t>
            </w:r>
            <w:r w:rsidR="0039321F" w:rsidRPr="001F1FD7">
              <w:rPr>
                <w:rFonts w:asciiTheme="minorHAnsi" w:hAnsiTheme="minorHAnsi"/>
                <w:b/>
              </w:rPr>
              <w:t>Standard(s)</w:t>
            </w:r>
            <w:r w:rsidR="0039321F" w:rsidRPr="001F1FD7">
              <w:rPr>
                <w:rFonts w:asciiTheme="minorHAnsi" w:hAnsiTheme="minorHAnsi"/>
              </w:rPr>
              <w:t xml:space="preserve">: </w:t>
            </w:r>
          </w:p>
          <w:p w:rsidR="00B4151B" w:rsidRPr="00BD15AB" w:rsidRDefault="00BD15AB" w:rsidP="000533E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D15AB">
              <w:rPr>
                <w:rFonts w:asciiTheme="minorHAnsi" w:hAnsiTheme="minorHAnsi"/>
                <w:b/>
                <w:sz w:val="22"/>
                <w:szCs w:val="22"/>
              </w:rPr>
              <w:t>ALL CLASSES</w:t>
            </w:r>
          </w:p>
          <w:p w:rsidR="00BD15AB" w:rsidRPr="00BD15AB" w:rsidRDefault="00BD15AB" w:rsidP="000533E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15AB">
              <w:rPr>
                <w:rFonts w:asciiTheme="minorHAnsi" w:hAnsiTheme="minorHAnsi"/>
                <w:sz w:val="22"/>
                <w:szCs w:val="22"/>
              </w:rPr>
              <w:t>ELACC7L2: Demonstrate command of the conventions of standard English capitalization, punctuation, and spelling when writing.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b/>
              </w:rPr>
              <w:t>ADV</w:t>
            </w:r>
            <w:r w:rsidRPr="00BD15AB">
              <w:rPr>
                <w:rFonts w:asciiTheme="minorHAnsi" w:hAnsiTheme="minorHAnsi"/>
                <w:b/>
              </w:rPr>
              <w:br/>
            </w:r>
            <w:r w:rsidRPr="00BD15AB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BD15AB" w:rsidRPr="00BD15AB" w:rsidRDefault="00BD15AB" w:rsidP="00BD15A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D15AB">
              <w:rPr>
                <w:rFonts w:asciiTheme="minorHAnsi" w:hAnsiTheme="minorHAnsi"/>
                <w:b/>
              </w:rPr>
              <w:t>REG</w:t>
            </w:r>
          </w:p>
          <w:p w:rsidR="00BD15AB" w:rsidRPr="001F1FD7" w:rsidRDefault="00BD15AB" w:rsidP="00BD15AB">
            <w:pPr>
              <w:pStyle w:val="Default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sz w:val="22"/>
                <w:szCs w:val="22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characters.</w:t>
            </w:r>
          </w:p>
        </w:tc>
        <w:tc>
          <w:tcPr>
            <w:tcW w:w="2880" w:type="dxa"/>
            <w:shd w:val="clear" w:color="auto" w:fill="auto"/>
          </w:tcPr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:rsidR="006E4F6B" w:rsidRPr="00BD15AB" w:rsidRDefault="006E4F6B" w:rsidP="006E4F6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D15AB">
              <w:rPr>
                <w:rFonts w:asciiTheme="minorHAnsi" w:hAnsiTheme="minorHAnsi"/>
                <w:b/>
                <w:sz w:val="22"/>
                <w:szCs w:val="22"/>
              </w:rPr>
              <w:t>ALL CLASSES</w:t>
            </w:r>
          </w:p>
          <w:p w:rsidR="006E4F6B" w:rsidRPr="00BD15AB" w:rsidRDefault="006E4F6B" w:rsidP="006E4F6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15AB">
              <w:rPr>
                <w:rFonts w:asciiTheme="minorHAnsi" w:hAnsiTheme="minorHAnsi"/>
                <w:sz w:val="22"/>
                <w:szCs w:val="22"/>
              </w:rPr>
              <w:t>ELACC7L2: Demonstrate command of the conventions of standard English capitalization, punctuation, and spelling when writing.</w:t>
            </w:r>
          </w:p>
          <w:p w:rsidR="006E4F6B" w:rsidRPr="00BD15AB" w:rsidRDefault="006E4F6B" w:rsidP="006E4F6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  <w:b/>
              </w:rPr>
              <w:t>ADV</w:t>
            </w:r>
            <w:r w:rsidRPr="00BD15AB">
              <w:rPr>
                <w:rFonts w:asciiTheme="minorHAnsi" w:hAnsiTheme="minorHAnsi"/>
                <w:b/>
              </w:rPr>
              <w:br/>
            </w:r>
            <w:r w:rsidRPr="00BD15AB">
              <w:rPr>
                <w:rFonts w:asciiTheme="minorHAnsi" w:hAnsiTheme="minorHAnsi"/>
              </w:rPr>
              <w:t xml:space="preserve">ELACC7RI1: Cite several pieces of textual evidence to support analysis of what </w:t>
            </w:r>
          </w:p>
          <w:p w:rsidR="006E4F6B" w:rsidRPr="00BD15AB" w:rsidRDefault="006E4F6B" w:rsidP="006E4F6B">
            <w:pPr>
              <w:spacing w:after="0" w:line="240" w:lineRule="auto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the text says explicitly as well as inferences drawn from the text</w:t>
            </w:r>
          </w:p>
          <w:p w:rsidR="006E4F6B" w:rsidRPr="00BD15AB" w:rsidRDefault="006E4F6B" w:rsidP="006E4F6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D15AB">
              <w:rPr>
                <w:rFonts w:asciiTheme="minorHAnsi" w:hAnsiTheme="minorHAnsi"/>
                <w:b/>
              </w:rPr>
              <w:t>REG</w:t>
            </w:r>
          </w:p>
          <w:p w:rsidR="00871C47" w:rsidRPr="001F1FD7" w:rsidRDefault="006E4F6B" w:rsidP="006E4F6B">
            <w:pPr>
              <w:pStyle w:val="Default"/>
              <w:rPr>
                <w:rFonts w:asciiTheme="minorHAnsi" w:hAnsiTheme="minorHAnsi"/>
              </w:rPr>
            </w:pPr>
            <w:r w:rsidRPr="00BD15AB">
              <w:rPr>
                <w:rFonts w:asciiTheme="minorHAnsi" w:hAnsiTheme="minorHAnsi"/>
              </w:rPr>
              <w:t>ELACC7W3: Write narratives to develop real or imagined experiences or events using effective technique, relevant descriptive details, and well-structured event sequences. b. Use narrative techniques, such as dialogue, pacing, and description, to develop experiences, events, and/or characters.</w:t>
            </w:r>
          </w:p>
        </w:tc>
        <w:tc>
          <w:tcPr>
            <w:tcW w:w="2988" w:type="dxa"/>
            <w:shd w:val="clear" w:color="auto" w:fill="auto"/>
          </w:tcPr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Common Core Standard(s)</w:t>
            </w:r>
            <w:r w:rsidRPr="001F1FD7">
              <w:rPr>
                <w:rFonts w:asciiTheme="minorHAnsi" w:hAnsiTheme="minorHAnsi"/>
              </w:rPr>
              <w:t xml:space="preserve">: </w:t>
            </w:r>
          </w:p>
          <w:p w:rsidR="0039321F" w:rsidRPr="001F1FD7" w:rsidRDefault="006555A1" w:rsidP="006555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BENCHMARKING</w:t>
            </w:r>
          </w:p>
        </w:tc>
      </w:tr>
      <w:tr w:rsidR="006E4F6B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6E4F6B" w:rsidRPr="002500F4" w:rsidRDefault="006E4F6B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AA765F">
              <w:rPr>
                <w:rFonts w:asciiTheme="minorHAnsi" w:hAnsiTheme="minorHAnsi"/>
              </w:rPr>
              <w:t>correctly use compound and complex sentences in my writing.</w:t>
            </w:r>
          </w:p>
          <w:p w:rsidR="006E4F6B" w:rsidRPr="001F1FD7" w:rsidRDefault="006E4F6B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4F6B" w:rsidRPr="002500F4" w:rsidRDefault="006E4F6B" w:rsidP="00741C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AA765F">
              <w:rPr>
                <w:rFonts w:asciiTheme="minorHAnsi" w:hAnsiTheme="minorHAnsi"/>
              </w:rPr>
              <w:t>cite textual evidence from the Declaration of Independence giving at least 15 examples of what the Patriots wanted.</w:t>
            </w:r>
          </w:p>
          <w:p w:rsidR="006E4F6B" w:rsidRPr="001F1FD7" w:rsidRDefault="006E4F6B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E4F6B" w:rsidRPr="00AA765F" w:rsidRDefault="006E4F6B" w:rsidP="00741C0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I Can: </w:t>
            </w:r>
            <w:r>
              <w:rPr>
                <w:rFonts w:asciiTheme="minorHAnsi" w:hAnsiTheme="minorHAnsi"/>
              </w:rPr>
              <w:t xml:space="preserve">identity different types of pronouns after instruction.  </w:t>
            </w:r>
          </w:p>
          <w:p w:rsidR="006E4F6B" w:rsidRPr="001F1FD7" w:rsidRDefault="006E4F6B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E4F6B" w:rsidRPr="002500F4" w:rsidRDefault="006E4F6B" w:rsidP="005F50B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Pr="00FD46D7">
              <w:rPr>
                <w:rFonts w:asciiTheme="minorHAnsi" w:hAnsiTheme="minorHAnsi"/>
              </w:rPr>
              <w:t>use the different types of pronouns while maintaining the appropriate person throughout my writing.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6E4F6B" w:rsidRPr="001F1FD7" w:rsidRDefault="006E4F6B" w:rsidP="005F50B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555A1" w:rsidRPr="00AA765F" w:rsidRDefault="006555A1" w:rsidP="006555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I Can: </w:t>
            </w:r>
            <w:r>
              <w:rPr>
                <w:rFonts w:asciiTheme="minorHAnsi" w:hAnsiTheme="minorHAnsi"/>
              </w:rPr>
              <w:t>correctly answer questions on my benchmark.</w:t>
            </w:r>
          </w:p>
          <w:p w:rsidR="006E4F6B" w:rsidRPr="001F1FD7" w:rsidRDefault="006E4F6B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E4F6B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Mini Lesson: </w:t>
            </w:r>
            <w:r w:rsidRPr="00DE4851">
              <w:rPr>
                <w:rFonts w:asciiTheme="minorHAnsi" w:hAnsiTheme="minorHAnsi"/>
              </w:rPr>
              <w:t>Introduce next novel study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A035A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continue to work in stations</w:t>
            </w:r>
          </w:p>
          <w:p w:rsidR="006E4F6B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6E4F6B" w:rsidRDefault="006E4F6B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Copies of novels</w:t>
            </w:r>
          </w:p>
          <w:p w:rsidR="006E4F6B" w:rsidRDefault="006E4F6B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 – Lit Circle rules and contract</w:t>
            </w:r>
          </w:p>
          <w:p w:rsidR="006E4F6B" w:rsidRPr="00871C47" w:rsidRDefault="006E4F6B" w:rsidP="002500F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E4F6B" w:rsidRPr="001F1FD7" w:rsidRDefault="006E4F6B" w:rsidP="005E37F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6E4F6B" w:rsidRDefault="006E4F6B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Pr="00DE4851">
              <w:rPr>
                <w:rFonts w:asciiTheme="minorHAnsi" w:hAnsiTheme="minorHAnsi"/>
              </w:rPr>
              <w:t>ADV – The Great American Dream</w:t>
            </w:r>
          </w:p>
          <w:p w:rsidR="006E4F6B" w:rsidRPr="00DE4851" w:rsidRDefault="006E4F6B" w:rsidP="001C5DF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 – Harris </w:t>
            </w:r>
            <w:proofErr w:type="spellStart"/>
            <w:r>
              <w:rPr>
                <w:rFonts w:asciiTheme="minorHAnsi" w:hAnsiTheme="minorHAnsi"/>
              </w:rPr>
              <w:t>Burdict</w:t>
            </w:r>
            <w:proofErr w:type="spellEnd"/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Pr="0026454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finish stations</w:t>
            </w:r>
          </w:p>
          <w:p w:rsidR="006E4F6B" w:rsidRDefault="006E4F6B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6E4F6B" w:rsidRDefault="006E4F6B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Copy of Declaration of Independence</w:t>
            </w:r>
          </w:p>
          <w:p w:rsidR="006E4F6B" w:rsidRPr="001F1FD7" w:rsidRDefault="006E4F6B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 – Harris </w:t>
            </w:r>
            <w:proofErr w:type="spellStart"/>
            <w:r>
              <w:rPr>
                <w:rFonts w:asciiTheme="minorHAnsi" w:hAnsiTheme="minorHAnsi"/>
              </w:rPr>
              <w:t>Burdict</w:t>
            </w:r>
            <w:proofErr w:type="spellEnd"/>
            <w:r>
              <w:rPr>
                <w:rFonts w:asciiTheme="minorHAnsi" w:hAnsiTheme="minorHAnsi"/>
              </w:rPr>
              <w:t xml:space="preserve"> posters</w:t>
            </w:r>
          </w:p>
        </w:tc>
        <w:tc>
          <w:tcPr>
            <w:tcW w:w="2904" w:type="dxa"/>
            <w:shd w:val="clear" w:color="auto" w:fill="auto"/>
          </w:tcPr>
          <w:p w:rsidR="006E4F6B" w:rsidRPr="00264541" w:rsidRDefault="006E4F6B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Pr="00DE4851">
              <w:rPr>
                <w:rFonts w:asciiTheme="minorHAnsi" w:hAnsiTheme="minorHAnsi"/>
              </w:rPr>
              <w:t>An Awkward Moment</w:t>
            </w:r>
          </w:p>
          <w:p w:rsidR="006E4F6B" w:rsidRPr="002500F4" w:rsidRDefault="006E4F6B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Pr="00FD46D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start pronoun </w:t>
            </w:r>
            <w:proofErr w:type="spellStart"/>
            <w:r>
              <w:rPr>
                <w:rFonts w:asciiTheme="minorHAnsi" w:hAnsiTheme="minorHAnsi"/>
              </w:rPr>
              <w:t>powerpoint</w:t>
            </w:r>
            <w:proofErr w:type="spellEnd"/>
          </w:p>
          <w:p w:rsidR="006E4F6B" w:rsidRPr="001F1FD7" w:rsidRDefault="006E4F6B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6E4F6B" w:rsidRDefault="006E4F6B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Awkward Moment skit</w:t>
            </w:r>
          </w:p>
          <w:p w:rsidR="006E4F6B" w:rsidRPr="00871C47" w:rsidRDefault="006E4F6B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Pronoun notes</w:t>
            </w:r>
          </w:p>
        </w:tc>
        <w:tc>
          <w:tcPr>
            <w:tcW w:w="2880" w:type="dxa"/>
            <w:shd w:val="clear" w:color="auto" w:fill="auto"/>
          </w:tcPr>
          <w:p w:rsidR="006E4F6B" w:rsidRPr="00DE4851" w:rsidRDefault="006E4F6B" w:rsidP="006E4F6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>
              <w:rPr>
                <w:rFonts w:asciiTheme="minorHAnsi" w:hAnsiTheme="minorHAnsi"/>
              </w:rPr>
              <w:t>Check in on Novel Choices</w:t>
            </w:r>
          </w:p>
          <w:p w:rsidR="006E4F6B" w:rsidRPr="00264541" w:rsidRDefault="006E4F6B" w:rsidP="006E4F6B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</w:t>
            </w:r>
            <w:r w:rsidRPr="00FD46D7">
              <w:rPr>
                <w:rFonts w:asciiTheme="minorHAnsi" w:hAnsiTheme="minorHAnsi"/>
              </w:rPr>
              <w:t>Free Write notebooks – Make it Rain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Resource/Materials: 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Writers notebooks</w:t>
            </w:r>
          </w:p>
        </w:tc>
        <w:tc>
          <w:tcPr>
            <w:tcW w:w="2988" w:type="dxa"/>
            <w:shd w:val="clear" w:color="auto" w:fill="auto"/>
          </w:tcPr>
          <w:p w:rsidR="006555A1" w:rsidRPr="00DE4851" w:rsidRDefault="006555A1" w:rsidP="006555A1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>
              <w:rPr>
                <w:rFonts w:asciiTheme="minorHAnsi" w:hAnsiTheme="minorHAnsi"/>
              </w:rPr>
              <w:t>Multiple Choice test taking strategies</w:t>
            </w:r>
          </w:p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Activating Strategies:  </w:t>
            </w:r>
            <w:r w:rsidRPr="00FD46D7">
              <w:rPr>
                <w:rFonts w:asciiTheme="minorHAnsi" w:hAnsiTheme="minorHAnsi"/>
              </w:rPr>
              <w:t>Mentor Sentence - celebrate</w:t>
            </w:r>
          </w:p>
          <w:p w:rsidR="006555A1" w:rsidRDefault="006555A1" w:rsidP="006555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Resource/Materials: </w:t>
            </w:r>
          </w:p>
          <w:p w:rsidR="006E4F6B" w:rsidRPr="001F1FD7" w:rsidRDefault="006555A1" w:rsidP="006555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Computers for benchmarking</w:t>
            </w:r>
          </w:p>
        </w:tc>
      </w:tr>
      <w:tr w:rsidR="006E4F6B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6E4F6B" w:rsidRDefault="006E4F6B" w:rsidP="00DE4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52199">
              <w:rPr>
                <w:rFonts w:asciiTheme="minorHAnsi" w:hAnsiTheme="minorHAnsi"/>
                <w:b/>
                <w:i/>
              </w:rPr>
              <w:t>Content/Process/Product:</w:t>
            </w:r>
            <w:r>
              <w:rPr>
                <w:rFonts w:asciiTheme="minorHAnsi" w:hAnsiTheme="minorHAnsi"/>
                <w:i/>
              </w:rPr>
              <w:t xml:space="preserve"> REG – homework assignment is leveled for learners based on ability</w:t>
            </w:r>
          </w:p>
          <w:p w:rsidR="006E4F6B" w:rsidRPr="00952199" w:rsidRDefault="006E4F6B" w:rsidP="00DE4851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ADV – Literature Circle assignments are given based on interest</w:t>
            </w:r>
          </w:p>
          <w:p w:rsidR="006E4F6B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52199">
              <w:rPr>
                <w:rFonts w:asciiTheme="minorHAnsi" w:hAnsiTheme="minorHAnsi"/>
                <w:b/>
                <w:i/>
              </w:rPr>
              <w:t>Grouping Strategy: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6E4F6B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REG – homework assignment varies based on ability level with sentence types</w:t>
            </w:r>
          </w:p>
          <w:p w:rsidR="006E4F6B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some students have been pushed ahead to work on adverb and adjective clauses while others are still on compound and complex sentences. Groups for novel study are based on </w:t>
            </w:r>
            <w:proofErr w:type="spellStart"/>
            <w:r>
              <w:rPr>
                <w:rFonts w:asciiTheme="minorHAnsi" w:hAnsiTheme="minorHAnsi"/>
                <w:i/>
              </w:rPr>
              <w:t>lexile</w:t>
            </w:r>
            <w:proofErr w:type="spellEnd"/>
            <w:r>
              <w:rPr>
                <w:rFonts w:asciiTheme="minorHAnsi" w:hAnsiTheme="minorHAnsi"/>
                <w:i/>
              </w:rPr>
              <w:t xml:space="preserve"> level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DA43FC">
              <w:rPr>
                <w:rFonts w:asciiTheme="minorHAnsi" w:hAnsiTheme="minorHAnsi"/>
                <w:b/>
                <w:i/>
              </w:rPr>
              <w:t>Assessment:</w:t>
            </w:r>
            <w:r w:rsidRPr="001F1FD7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6E4F6B" w:rsidRPr="001F1FD7" w:rsidRDefault="006E4F6B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6E4F6B" w:rsidRPr="001F1FD7" w:rsidRDefault="006E4F6B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6E4F6B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Content/Process/Product: </w:t>
            </w:r>
            <w:r w:rsidRPr="00AB3F56">
              <w:rPr>
                <w:rFonts w:asciiTheme="minorHAnsi" w:hAnsiTheme="minorHAnsi"/>
                <w:i/>
              </w:rPr>
              <w:t xml:space="preserve">REG – the rubric for students on the Harris </w:t>
            </w:r>
            <w:proofErr w:type="spellStart"/>
            <w:r w:rsidRPr="00AB3F56">
              <w:rPr>
                <w:rFonts w:asciiTheme="minorHAnsi" w:hAnsiTheme="minorHAnsi"/>
                <w:i/>
              </w:rPr>
              <w:t>Burdict</w:t>
            </w:r>
            <w:proofErr w:type="spellEnd"/>
            <w:r w:rsidRPr="00AB3F56">
              <w:rPr>
                <w:rFonts w:asciiTheme="minorHAnsi" w:hAnsiTheme="minorHAnsi"/>
                <w:i/>
              </w:rPr>
              <w:t xml:space="preserve"> activity will vary based on ability.</w:t>
            </w:r>
          </w:p>
          <w:p w:rsidR="006E4F6B" w:rsidRPr="00AB3F56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ADV – specific groups on the Declaration activity will be asked to go a step further to compare/contrast a fewer number of evidence pieces to The Emancipation Proclamation.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</w:p>
          <w:p w:rsidR="006E4F6B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Grouping Strategy: </w:t>
            </w:r>
            <w:r>
              <w:rPr>
                <w:rFonts w:asciiTheme="minorHAnsi" w:hAnsiTheme="minorHAnsi"/>
                <w:i/>
              </w:rPr>
              <w:t xml:space="preserve">REG – Harris </w:t>
            </w:r>
            <w:proofErr w:type="spellStart"/>
            <w:r>
              <w:rPr>
                <w:rFonts w:asciiTheme="minorHAnsi" w:hAnsiTheme="minorHAnsi"/>
                <w:i/>
              </w:rPr>
              <w:t>Burdict</w:t>
            </w:r>
            <w:proofErr w:type="spellEnd"/>
            <w:r>
              <w:rPr>
                <w:rFonts w:asciiTheme="minorHAnsi" w:hAnsiTheme="minorHAnsi"/>
                <w:i/>
              </w:rPr>
              <w:t xml:space="preserve"> poster choices based on CRCT scores in ELA</w:t>
            </w:r>
          </w:p>
          <w:p w:rsidR="006E4F6B" w:rsidRPr="00996641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Grouping for Declaration activity based on </w:t>
            </w:r>
            <w:proofErr w:type="spellStart"/>
            <w:r>
              <w:rPr>
                <w:rFonts w:asciiTheme="minorHAnsi" w:hAnsiTheme="minorHAnsi"/>
                <w:i/>
              </w:rPr>
              <w:t>Rdg</w:t>
            </w:r>
            <w:proofErr w:type="spellEnd"/>
            <w:r>
              <w:rPr>
                <w:rFonts w:asciiTheme="minorHAnsi" w:hAnsiTheme="minorHAnsi"/>
                <w:i/>
              </w:rPr>
              <w:t xml:space="preserve"> CRCT scores</w:t>
            </w:r>
          </w:p>
          <w:p w:rsidR="006E4F6B" w:rsidRPr="00996641" w:rsidRDefault="006E4F6B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Assessment:</w:t>
            </w:r>
            <w:r>
              <w:rPr>
                <w:rFonts w:asciiTheme="minorHAnsi" w:hAnsiTheme="minorHAnsi"/>
                <w:i/>
              </w:rPr>
              <w:t xml:space="preserve"> Final assessment on sentence types is tiered for all learners based on ability.</w:t>
            </w:r>
            <w:r w:rsidRPr="00996641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6E4F6B" w:rsidRPr="001F1FD7" w:rsidRDefault="006E4F6B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E4F6B" w:rsidRPr="001F1FD7" w:rsidRDefault="006E4F6B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6E4F6B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Content/Process/Product: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Pr="00886D3B">
              <w:rPr>
                <w:rFonts w:asciiTheme="minorHAnsi" w:hAnsiTheme="minorHAnsi"/>
                <w:i/>
              </w:rPr>
              <w:t xml:space="preserve">REG – some students will be given guided notes as we begin our pronoun unit. </w:t>
            </w:r>
            <w:r>
              <w:rPr>
                <w:rFonts w:asciiTheme="minorHAnsi" w:hAnsiTheme="minorHAnsi"/>
                <w:i/>
              </w:rPr>
              <w:t>T</w:t>
            </w:r>
            <w:r w:rsidRPr="00AB3F56">
              <w:rPr>
                <w:rFonts w:asciiTheme="minorHAnsi" w:hAnsiTheme="minorHAnsi"/>
                <w:i/>
              </w:rPr>
              <w:t xml:space="preserve">he rubric for students on the Harris </w:t>
            </w:r>
            <w:proofErr w:type="spellStart"/>
            <w:r w:rsidRPr="00AB3F56">
              <w:rPr>
                <w:rFonts w:asciiTheme="minorHAnsi" w:hAnsiTheme="minorHAnsi"/>
                <w:i/>
              </w:rPr>
              <w:t>Burdict</w:t>
            </w:r>
            <w:proofErr w:type="spellEnd"/>
            <w:r w:rsidRPr="00AB3F56">
              <w:rPr>
                <w:rFonts w:asciiTheme="minorHAnsi" w:hAnsiTheme="minorHAnsi"/>
                <w:i/>
              </w:rPr>
              <w:t xml:space="preserve"> activity will vary based on ability.</w:t>
            </w:r>
          </w:p>
          <w:p w:rsidR="006E4F6B" w:rsidRPr="00996641" w:rsidRDefault="006E4F6B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ADV – Pretest will be given for ADV students to test out of unit on pronouns. Specific groups on the Declaration activity will be asked to go a step further to compare/contrast a fewer number of evidence pieces to The Emancipation Proclamation.</w:t>
            </w:r>
          </w:p>
          <w:p w:rsidR="006E4F6B" w:rsidRDefault="006E4F6B" w:rsidP="00886D3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Grouping Strategy: </w:t>
            </w:r>
            <w:r>
              <w:rPr>
                <w:rFonts w:asciiTheme="minorHAnsi" w:hAnsiTheme="minorHAnsi"/>
                <w:i/>
              </w:rPr>
              <w:t xml:space="preserve">REG – Harris </w:t>
            </w:r>
            <w:proofErr w:type="spellStart"/>
            <w:r>
              <w:rPr>
                <w:rFonts w:asciiTheme="minorHAnsi" w:hAnsiTheme="minorHAnsi"/>
                <w:i/>
              </w:rPr>
              <w:t>Burdict</w:t>
            </w:r>
            <w:proofErr w:type="spellEnd"/>
            <w:r>
              <w:rPr>
                <w:rFonts w:asciiTheme="minorHAnsi" w:hAnsiTheme="minorHAnsi"/>
                <w:i/>
              </w:rPr>
              <w:t xml:space="preserve"> poster choices based on CRCT scores in ELA</w:t>
            </w:r>
          </w:p>
          <w:p w:rsidR="006E4F6B" w:rsidRPr="00996641" w:rsidRDefault="006E4F6B" w:rsidP="00886D3B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ADV – Grouping for Declaration activity based on </w:t>
            </w:r>
            <w:proofErr w:type="spellStart"/>
            <w:r>
              <w:rPr>
                <w:rFonts w:asciiTheme="minorHAnsi" w:hAnsiTheme="minorHAnsi"/>
                <w:i/>
              </w:rPr>
              <w:t>Rdg</w:t>
            </w:r>
            <w:proofErr w:type="spellEnd"/>
            <w:r>
              <w:rPr>
                <w:rFonts w:asciiTheme="minorHAnsi" w:hAnsiTheme="minorHAnsi"/>
                <w:i/>
              </w:rPr>
              <w:t xml:space="preserve"> CRCT scores</w:t>
            </w:r>
          </w:p>
          <w:p w:rsidR="006E4F6B" w:rsidRPr="00996641" w:rsidRDefault="006E4F6B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Assessment: </w:t>
            </w:r>
            <w:r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6E4F6B" w:rsidRPr="001F1FD7" w:rsidRDefault="006E4F6B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Differentiation:</w:t>
            </w:r>
          </w:p>
          <w:p w:rsidR="006E4F6B" w:rsidRDefault="006E4F6B" w:rsidP="006E4F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Content/Process/Product:</w:t>
            </w:r>
            <w:r w:rsidRPr="00886D3B">
              <w:rPr>
                <w:rFonts w:asciiTheme="minorHAnsi" w:hAnsiTheme="minorHAnsi"/>
                <w:i/>
              </w:rPr>
              <w:t xml:space="preserve"> REG – some students will be given guided notes as we begin our pronoun unit. </w:t>
            </w:r>
            <w:r>
              <w:rPr>
                <w:rFonts w:asciiTheme="minorHAnsi" w:hAnsiTheme="minorHAnsi"/>
                <w:i/>
              </w:rPr>
              <w:t>T</w:t>
            </w:r>
            <w:r w:rsidRPr="00AB3F56">
              <w:rPr>
                <w:rFonts w:asciiTheme="minorHAnsi" w:hAnsiTheme="minorHAnsi"/>
                <w:i/>
              </w:rPr>
              <w:t xml:space="preserve">he rubric for students on the Harris </w:t>
            </w:r>
            <w:proofErr w:type="spellStart"/>
            <w:r w:rsidRPr="00AB3F56">
              <w:rPr>
                <w:rFonts w:asciiTheme="minorHAnsi" w:hAnsiTheme="minorHAnsi"/>
                <w:i/>
              </w:rPr>
              <w:t>Burdict</w:t>
            </w:r>
            <w:proofErr w:type="spellEnd"/>
            <w:r w:rsidRPr="00AB3F56">
              <w:rPr>
                <w:rFonts w:asciiTheme="minorHAnsi" w:hAnsiTheme="minorHAnsi"/>
                <w:i/>
              </w:rPr>
              <w:t xml:space="preserve"> activity will vary based on ability.</w:t>
            </w:r>
          </w:p>
          <w:p w:rsidR="006E4F6B" w:rsidRPr="00996641" w:rsidRDefault="006E4F6B" w:rsidP="006E4F6B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ADV – assignment for The American Dream will be based on interest level.</w:t>
            </w:r>
          </w:p>
          <w:p w:rsidR="006E4F6B" w:rsidRPr="00996641" w:rsidRDefault="006E4F6B" w:rsidP="006E4F6B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Grouping Strategy: </w:t>
            </w:r>
            <w:r w:rsidRPr="00886D3B">
              <w:rPr>
                <w:rFonts w:asciiTheme="minorHAnsi" w:hAnsiTheme="minorHAnsi"/>
                <w:i/>
              </w:rPr>
              <w:t>ADV – Students will be allowed to choose groups based on interest in final product.</w:t>
            </w:r>
          </w:p>
          <w:p w:rsidR="006E4F6B" w:rsidRPr="00996641" w:rsidRDefault="006E4F6B" w:rsidP="006E4F6B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Assessment</w:t>
            </w:r>
            <w:r>
              <w:rPr>
                <w:rFonts w:asciiTheme="minorHAnsi" w:hAnsiTheme="minorHAnsi"/>
                <w:b/>
                <w:i/>
              </w:rPr>
              <w:t>:</w:t>
            </w:r>
            <w:r w:rsidRPr="00996641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Final assessment on sentence types is tiered for all learners based on ability.</w:t>
            </w:r>
          </w:p>
          <w:p w:rsidR="006E4F6B" w:rsidRPr="001F1FD7" w:rsidRDefault="006E4F6B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6555A1" w:rsidRPr="00996641" w:rsidRDefault="006555A1" w:rsidP="006555A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>Content/Process/Product:</w:t>
            </w:r>
            <w:r w:rsidRPr="00886D3B">
              <w:rPr>
                <w:rFonts w:asciiTheme="minorHAnsi" w:hAnsiTheme="minorHAnsi"/>
                <w:i/>
              </w:rPr>
              <w:t xml:space="preserve"> </w:t>
            </w:r>
          </w:p>
          <w:p w:rsidR="006555A1" w:rsidRPr="00996641" w:rsidRDefault="006555A1" w:rsidP="006555A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Grouping Strategy: </w:t>
            </w:r>
          </w:p>
          <w:p w:rsidR="006555A1" w:rsidRPr="003D581D" w:rsidRDefault="006555A1" w:rsidP="006555A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96641">
              <w:rPr>
                <w:rFonts w:asciiTheme="minorHAnsi" w:hAnsiTheme="minorHAnsi"/>
                <w:b/>
                <w:i/>
              </w:rPr>
              <w:t xml:space="preserve">Assessment: </w:t>
            </w:r>
            <w:r>
              <w:rPr>
                <w:rFonts w:asciiTheme="minorHAnsi" w:hAnsiTheme="minorHAnsi"/>
                <w:i/>
              </w:rPr>
              <w:t>Students with accommodations on 504s or IEPs for assessments will be given those for benchmark.</w:t>
            </w:r>
          </w:p>
          <w:p w:rsidR="006E4F6B" w:rsidRPr="001F1FD7" w:rsidRDefault="006E4F6B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E4F6B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>
              <w:rPr>
                <w:rFonts w:asciiTheme="minorHAnsi" w:hAnsiTheme="minorHAnsi"/>
                <w:i/>
              </w:rPr>
              <w:t>homework assignment on sentence types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>
              <w:rPr>
                <w:rFonts w:asciiTheme="minorHAnsi" w:hAnsiTheme="minorHAnsi"/>
                <w:i/>
              </w:rPr>
              <w:t>ADV – citing evidence from Declaration of Independence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  <w:r>
              <w:rPr>
                <w:rFonts w:asciiTheme="minorHAnsi" w:hAnsiTheme="minorHAnsi"/>
                <w:i/>
              </w:rPr>
              <w:t xml:space="preserve"> REG – begin writing assignment on Harris </w:t>
            </w:r>
            <w:proofErr w:type="spellStart"/>
            <w:r>
              <w:rPr>
                <w:rFonts w:asciiTheme="minorHAnsi" w:hAnsiTheme="minorHAnsi"/>
                <w:i/>
              </w:rPr>
              <w:t>Burdict</w:t>
            </w:r>
            <w:proofErr w:type="spellEnd"/>
            <w:r>
              <w:rPr>
                <w:rFonts w:asciiTheme="minorHAnsi" w:hAnsiTheme="minorHAnsi"/>
                <w:i/>
              </w:rPr>
              <w:t xml:space="preserve"> posters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6E4F6B" w:rsidRPr="001F1FD7" w:rsidRDefault="006E4F6B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  <w:r>
              <w:rPr>
                <w:rFonts w:asciiTheme="minorHAnsi" w:hAnsiTheme="minorHAnsi"/>
                <w:i/>
              </w:rPr>
              <w:t xml:space="preserve"> ADV – pretest for pronoun unit</w:t>
            </w:r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6E4F6B" w:rsidRPr="001F1FD7" w:rsidRDefault="006E4F6B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  <w:r>
              <w:rPr>
                <w:rFonts w:asciiTheme="minorHAnsi" w:hAnsiTheme="minorHAnsi"/>
                <w:i/>
              </w:rPr>
              <w:t xml:space="preserve"> An awkward moment skit rewrite</w:t>
            </w:r>
          </w:p>
          <w:p w:rsidR="006E4F6B" w:rsidRPr="001F1FD7" w:rsidRDefault="006E4F6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>
              <w:rPr>
                <w:rFonts w:asciiTheme="minorHAnsi" w:hAnsiTheme="minorHAnsi"/>
                <w:i/>
              </w:rPr>
              <w:t xml:space="preserve"> pair assignment over pronoun types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6E4F6B" w:rsidRPr="001F1FD7" w:rsidRDefault="006E4F6B" w:rsidP="006E4F6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</w:tc>
        <w:tc>
          <w:tcPr>
            <w:tcW w:w="2988" w:type="dxa"/>
            <w:shd w:val="clear" w:color="auto" w:fill="auto"/>
          </w:tcPr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>
              <w:rPr>
                <w:rFonts w:asciiTheme="minorHAnsi" w:hAnsiTheme="minorHAnsi"/>
                <w:i/>
              </w:rPr>
              <w:t xml:space="preserve"> Benchmarks</w:t>
            </w:r>
          </w:p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  <w:r>
              <w:rPr>
                <w:rFonts w:asciiTheme="minorHAnsi" w:hAnsiTheme="minorHAnsi"/>
                <w:i/>
              </w:rPr>
              <w:t xml:space="preserve"> </w:t>
            </w:r>
          </w:p>
          <w:p w:rsidR="006555A1" w:rsidRPr="001F1FD7" w:rsidRDefault="006555A1" w:rsidP="006555A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6E4F6B" w:rsidRPr="001F1FD7" w:rsidRDefault="006E4F6B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E4F6B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6E4F6B" w:rsidRPr="001F1FD7" w:rsidRDefault="006E4F6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741C0D">
              <w:rPr>
                <w:rFonts w:asciiTheme="minorHAnsi" w:hAnsiTheme="minorHAnsi"/>
              </w:rPr>
              <w:t>worksheet review over compound and complex sentences</w:t>
            </w:r>
          </w:p>
          <w:p w:rsidR="006E4F6B" w:rsidRPr="001F1FD7" w:rsidRDefault="006E4F6B" w:rsidP="00FC20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6E4F6B" w:rsidRPr="001F1FD7" w:rsidRDefault="006E4F6B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  <w:r w:rsidRPr="00D822A2">
              <w:rPr>
                <w:rFonts w:asciiTheme="minorHAnsi" w:hAnsiTheme="minorHAnsi"/>
              </w:rPr>
              <w:t>ADV – decision about Lit Circle group by tomorrow</w:t>
            </w:r>
          </w:p>
          <w:p w:rsidR="006E4F6B" w:rsidRPr="001F1FD7" w:rsidRDefault="006E4F6B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6E4F6B" w:rsidRPr="001F1FD7" w:rsidRDefault="006E4F6B" w:rsidP="00D822A2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D822A2">
              <w:rPr>
                <w:rFonts w:asciiTheme="minorHAnsi" w:hAnsiTheme="minorHAnsi"/>
              </w:rPr>
              <w:t>ADV – decision about Lit Circle group by tomorrow</w:t>
            </w:r>
          </w:p>
        </w:tc>
        <w:tc>
          <w:tcPr>
            <w:tcW w:w="2880" w:type="dxa"/>
            <w:shd w:val="clear" w:color="auto" w:fill="auto"/>
          </w:tcPr>
          <w:p w:rsidR="006E4F6B" w:rsidRPr="001F1FD7" w:rsidRDefault="006E4F6B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D822A2">
              <w:rPr>
                <w:rFonts w:asciiTheme="minorHAnsi" w:hAnsiTheme="minorHAnsi"/>
              </w:rPr>
              <w:t>Material for pronoun mobile by Monday</w:t>
            </w:r>
          </w:p>
          <w:p w:rsidR="006E4F6B" w:rsidRPr="001F1FD7" w:rsidRDefault="006E4F6B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6E4F6B" w:rsidRPr="002500F4" w:rsidRDefault="006E4F6B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Pr="00D822A2">
              <w:rPr>
                <w:rFonts w:asciiTheme="minorHAnsi" w:hAnsiTheme="minorHAnsi"/>
              </w:rPr>
              <w:t>Material for pronoun mobile by Monday</w:t>
            </w:r>
          </w:p>
          <w:p w:rsidR="006E4F6B" w:rsidRPr="001F1FD7" w:rsidRDefault="006E4F6B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4F" w:rsidRDefault="007B644F" w:rsidP="0039321F">
      <w:pPr>
        <w:spacing w:after="0" w:line="240" w:lineRule="auto"/>
      </w:pPr>
      <w:r>
        <w:separator/>
      </w:r>
    </w:p>
  </w:endnote>
  <w:endnote w:type="continuationSeparator" w:id="0">
    <w:p w:rsidR="007B644F" w:rsidRDefault="007B644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4F" w:rsidRDefault="007B644F" w:rsidP="0039321F">
      <w:pPr>
        <w:spacing w:after="0" w:line="240" w:lineRule="auto"/>
      </w:pPr>
      <w:r>
        <w:separator/>
      </w:r>
    </w:p>
  </w:footnote>
  <w:footnote w:type="continuationSeparator" w:id="0">
    <w:p w:rsidR="007B644F" w:rsidRDefault="007B644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41F4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C5DF8"/>
    <w:rsid w:val="001D14C8"/>
    <w:rsid w:val="001F1FD7"/>
    <w:rsid w:val="001F27C6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D581D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5A1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6E4F6B"/>
    <w:rsid w:val="007134A8"/>
    <w:rsid w:val="00713562"/>
    <w:rsid w:val="00715723"/>
    <w:rsid w:val="00723CD2"/>
    <w:rsid w:val="00737222"/>
    <w:rsid w:val="00741C0D"/>
    <w:rsid w:val="00743CD0"/>
    <w:rsid w:val="007501C0"/>
    <w:rsid w:val="00771D10"/>
    <w:rsid w:val="0079406C"/>
    <w:rsid w:val="0079408B"/>
    <w:rsid w:val="007B644F"/>
    <w:rsid w:val="00805138"/>
    <w:rsid w:val="008565C6"/>
    <w:rsid w:val="00856F1D"/>
    <w:rsid w:val="00871C47"/>
    <w:rsid w:val="008726DD"/>
    <w:rsid w:val="00877CEE"/>
    <w:rsid w:val="008823B9"/>
    <w:rsid w:val="00886D3B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2199"/>
    <w:rsid w:val="00954367"/>
    <w:rsid w:val="00966A39"/>
    <w:rsid w:val="00976605"/>
    <w:rsid w:val="009835E5"/>
    <w:rsid w:val="00996641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A765F"/>
    <w:rsid w:val="00AB3F56"/>
    <w:rsid w:val="00AB6231"/>
    <w:rsid w:val="00AD13C0"/>
    <w:rsid w:val="00AD4BF0"/>
    <w:rsid w:val="00AE21EF"/>
    <w:rsid w:val="00AE5BEF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D15AB"/>
    <w:rsid w:val="00C075BA"/>
    <w:rsid w:val="00C16BBE"/>
    <w:rsid w:val="00C17DC5"/>
    <w:rsid w:val="00C2358C"/>
    <w:rsid w:val="00C50FF7"/>
    <w:rsid w:val="00C51662"/>
    <w:rsid w:val="00C527C0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22A2"/>
    <w:rsid w:val="00D85C44"/>
    <w:rsid w:val="00D94ACF"/>
    <w:rsid w:val="00DA43FC"/>
    <w:rsid w:val="00DB1DE4"/>
    <w:rsid w:val="00DC02C2"/>
    <w:rsid w:val="00DC2928"/>
    <w:rsid w:val="00DC73F7"/>
    <w:rsid w:val="00DD5F98"/>
    <w:rsid w:val="00DE2ED5"/>
    <w:rsid w:val="00DE4851"/>
    <w:rsid w:val="00DE6A03"/>
    <w:rsid w:val="00DF1495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D46D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2014-10-17T19:45:00Z</dcterms:created>
  <dcterms:modified xsi:type="dcterms:W3CDTF">2014-10-17T19:45:00Z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